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B713" w14:textId="29B889A6" w:rsidR="00D520EF" w:rsidRPr="00623ECB" w:rsidRDefault="00D520EF" w:rsidP="00623ECB">
      <w:pPr>
        <w:pStyle w:val="Brdtekst"/>
        <w:rPr>
          <w:b/>
        </w:rPr>
      </w:pPr>
      <w:r w:rsidRPr="00623ECB">
        <w:rPr>
          <w:b/>
        </w:rPr>
        <w:t>Høringsnotat til Næringskomiteen – Endringer i Lov om offentlige anskaffelser (LOA)</w:t>
      </w:r>
      <w:r w:rsidRPr="00623ECB">
        <w:rPr>
          <w:b/>
        </w:rPr>
        <w:br/>
      </w:r>
    </w:p>
    <w:p w14:paraId="55494917" w14:textId="0601B84A" w:rsidR="00D520EF" w:rsidRDefault="005B7CD4" w:rsidP="00623ECB">
      <w:pPr>
        <w:pStyle w:val="Brdtekst"/>
      </w:pPr>
      <w:r>
        <w:t>Etisk handel Norge takker for muligheten til å komme med høringsinnspill til</w:t>
      </w:r>
      <w:r w:rsidR="003061A4">
        <w:t xml:space="preserve"> behandlingen av </w:t>
      </w:r>
      <w:r w:rsidR="000A0EA0">
        <w:t xml:space="preserve">endringer i Lov om offentlige anskaffelser. </w:t>
      </w:r>
      <w:r w:rsidR="00D520EF" w:rsidRPr="00D520EF">
        <w:t xml:space="preserve">Offentlige anskaffelser utgjør over 750 milliarder kroner årlig og har stor påvirkning på klima, miljø og arbeidsforhold. </w:t>
      </w:r>
      <w:r w:rsidR="00D520EF">
        <w:t xml:space="preserve">Den </w:t>
      </w:r>
      <w:r w:rsidR="00D520EF" w:rsidRPr="00D520EF">
        <w:t xml:space="preserve">foreslåtte lovendringen er et viktig skritt mot mer bærekraftige innkjøp, men inneholder </w:t>
      </w:r>
      <w:r w:rsidR="000A0EA0">
        <w:t>vesentlige</w:t>
      </w:r>
      <w:r w:rsidR="00D520EF" w:rsidRPr="00D520EF">
        <w:t xml:space="preserve"> svakheter når det gjelder menneskerettigheter og anstendig arbeid.</w:t>
      </w:r>
      <w:r w:rsidR="00D520EF">
        <w:t xml:space="preserve"> </w:t>
      </w:r>
    </w:p>
    <w:p w14:paraId="4A95D68C" w14:textId="6E3FD533" w:rsidR="00D520EF" w:rsidRDefault="00D520EF" w:rsidP="00623ECB">
      <w:pPr>
        <w:pStyle w:val="Brdtekst"/>
      </w:pPr>
      <w:r>
        <w:t>Etisk handel Norge er positive til at lovforslaget har inntatt menneskerettigheter og anstendige arbeidsforhold i samfunnshensyn. Det er også positivt at det gjøres obligatorisk å ha anskaffelsesstrategi og rutiner som ivaretar samfunnshensyn.</w:t>
      </w:r>
      <w:r w:rsidR="000039DE">
        <w:t xml:space="preserve"> S</w:t>
      </w:r>
      <w:r w:rsidR="000039DE" w:rsidRPr="00D520EF">
        <w:t xml:space="preserve">lik loven er skrevet, gis det </w:t>
      </w:r>
      <w:r w:rsidR="000039DE">
        <w:t>imid</w:t>
      </w:r>
      <w:r w:rsidR="0078107F">
        <w:t>l</w:t>
      </w:r>
      <w:r w:rsidR="000039DE">
        <w:t xml:space="preserve">ertid </w:t>
      </w:r>
      <w:r w:rsidR="000039DE" w:rsidRPr="00D520EF">
        <w:t xml:space="preserve">for stort </w:t>
      </w:r>
      <w:proofErr w:type="spellStart"/>
      <w:r w:rsidR="000039DE" w:rsidRPr="00D520EF">
        <w:t>skjø</w:t>
      </w:r>
      <w:r w:rsidR="007A377C">
        <w:t>n</w:t>
      </w:r>
      <w:r w:rsidR="000039DE" w:rsidRPr="00D520EF">
        <w:t>nsrom</w:t>
      </w:r>
      <w:proofErr w:type="spellEnd"/>
      <w:r w:rsidR="000039DE" w:rsidRPr="00D520EF">
        <w:t xml:space="preserve"> til å bestemme om hensynet til menneskerettigheter og anstendige arbeidsforhold er relevant</w:t>
      </w:r>
      <w:r w:rsidR="000039DE">
        <w:t>.</w:t>
      </w:r>
      <w:r w:rsidR="0046261F">
        <w:t xml:space="preserve"> Vi mener videre at bruken av krav og kriterier for ivaretakelse av grunnleggende menneskerettigheter er godt utprøvd og kan gjøres </w:t>
      </w:r>
      <w:r w:rsidR="004D2B21">
        <w:t>obligatorisk i anskaffelser med høy risiko slik utvalget har foreslått.</w:t>
      </w:r>
    </w:p>
    <w:p w14:paraId="6760D9EA" w14:textId="21E2F459" w:rsidR="00F94CEA" w:rsidRDefault="00CE5713" w:rsidP="00F94CEA">
      <w:pPr>
        <w:pStyle w:val="Listeavsnitt"/>
        <w:numPr>
          <w:ilvl w:val="0"/>
          <w:numId w:val="2"/>
        </w:numPr>
      </w:pPr>
      <w:r>
        <w:t xml:space="preserve">Terskelen for hvor </w:t>
      </w:r>
      <w:r w:rsidR="007855A1">
        <w:t>menneskerettigheter og arbeidstakers rettigheter er relevant må tydeliggjøres for offentlige oppdragsgivere.</w:t>
      </w:r>
    </w:p>
    <w:p w14:paraId="1AC4C6B0" w14:textId="307C26CF" w:rsidR="004D2B21" w:rsidRDefault="00623ECB" w:rsidP="00F94CEA">
      <w:pPr>
        <w:pStyle w:val="Listeavsnitt"/>
        <w:numPr>
          <w:ilvl w:val="0"/>
          <w:numId w:val="2"/>
        </w:numPr>
      </w:pPr>
      <w:r>
        <w:t xml:space="preserve">Formuleringen i §5m om Menneskerettigheter og anstendige arbeidsforhold endres fra </w:t>
      </w:r>
      <w:r w:rsidR="00365F52">
        <w:rPr>
          <w:i/>
          <w:iCs/>
        </w:rPr>
        <w:t>bør</w:t>
      </w:r>
      <w:r w:rsidR="00365F52">
        <w:t xml:space="preserve"> til </w:t>
      </w:r>
      <w:r w:rsidR="00365F52" w:rsidRPr="00AC70F9">
        <w:rPr>
          <w:i/>
          <w:iCs/>
        </w:rPr>
        <w:t>skal</w:t>
      </w:r>
      <w:r w:rsidR="000D0CEF">
        <w:t>.</w:t>
      </w:r>
    </w:p>
    <w:p w14:paraId="5134535F" w14:textId="3A0D5CDB" w:rsidR="00676C63" w:rsidRPr="00857108" w:rsidRDefault="00082D86" w:rsidP="00623ECB">
      <w:pPr>
        <w:pStyle w:val="Brdtekst"/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</w:pPr>
      <w:r>
        <w:t xml:space="preserve">Vi mener at loven bør pålegge offentlige oppdragsgivere å gjøre aktsomhetsvurderinger. </w:t>
      </w:r>
      <w:r w:rsidR="00550E62">
        <w:t>I dagens lov stilles det høyere krav til ansvarlighet i markedstrans</w:t>
      </w:r>
      <w:r w:rsidR="00514B0E">
        <w:t>a</w:t>
      </w:r>
      <w:r w:rsidR="00550E62">
        <w:t xml:space="preserve">ksjoner </w:t>
      </w:r>
      <w:proofErr w:type="gramStart"/>
      <w:r w:rsidR="00550E62">
        <w:t>hva gjelder</w:t>
      </w:r>
      <w:proofErr w:type="gramEnd"/>
      <w:r w:rsidR="00550E62">
        <w:t xml:space="preserve"> respekt for menneskerettigheter og arbeidstakerrettigheter til pri</w:t>
      </w:r>
      <w:r w:rsidR="006F033D">
        <w:t xml:space="preserve">vate virksomheter enn til </w:t>
      </w:r>
      <w:r w:rsidR="00676C63">
        <w:t xml:space="preserve">det offentlige </w:t>
      </w:r>
      <w:r w:rsidR="00676C63" w:rsidRPr="00857108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t>næringslivet når det kommer til markedsmessige transaksjoner slik som anskaffelser.</w:t>
      </w:r>
    </w:p>
    <w:p w14:paraId="078E61FD" w14:textId="0AF07B78" w:rsidR="00676C63" w:rsidRDefault="00676C63" w:rsidP="00676C63">
      <w:pPr>
        <w:pStyle w:val="Listeavsnitt"/>
        <w:numPr>
          <w:ilvl w:val="0"/>
          <w:numId w:val="2"/>
        </w:numPr>
      </w:pPr>
      <w:r>
        <w:t>Det klargjøres at</w:t>
      </w:r>
      <w:r w:rsidR="00FF0057">
        <w:t xml:space="preserve"> metoden for aktsomhetsvurderinger skal følges i rutine for ivaretakelse av </w:t>
      </w:r>
      <w:r w:rsidR="007B4EF8">
        <w:t>menneskerettigheter og anstendige arbeidsforhold.</w:t>
      </w:r>
    </w:p>
    <w:p w14:paraId="7D627975" w14:textId="39C9A366" w:rsidR="00C74E6A" w:rsidRDefault="00E61CBE" w:rsidP="00623ECB">
      <w:pPr>
        <w:pStyle w:val="Brdtekst"/>
      </w:pPr>
      <w:r>
        <w:t xml:space="preserve">Dagens lov om offentlige anskaffelser gjør det </w:t>
      </w:r>
      <w:r w:rsidR="007A377C">
        <w:t xml:space="preserve">obligatorisk å ha rutiner for </w:t>
      </w:r>
      <w:r w:rsidR="00A77E5E">
        <w:t>å fremme respekt for grunnleggende</w:t>
      </w:r>
      <w:r w:rsidR="007A377C">
        <w:t xml:space="preserve"> menneskerettigheter i offentlige anskaffelser der det er høy risiko for brudd. Allikevel viser </w:t>
      </w:r>
      <w:proofErr w:type="spellStart"/>
      <w:r w:rsidR="007A377C">
        <w:t>DFØs</w:t>
      </w:r>
      <w:proofErr w:type="spellEnd"/>
      <w:r w:rsidR="007A377C">
        <w:t xml:space="preserve"> undersøkelse at </w:t>
      </w:r>
      <w:r w:rsidR="00D44305">
        <w:t>under halvparten av oppdragsgivere har dette.</w:t>
      </w:r>
      <w:r w:rsidR="002C6A15">
        <w:t xml:space="preserve"> </w:t>
      </w:r>
      <w:r w:rsidR="00BB224C">
        <w:t xml:space="preserve">Under en tredel av kommunene rapporterer at de har tilstrekkelig kompetanse på </w:t>
      </w:r>
      <w:r w:rsidR="00C62D06">
        <w:t xml:space="preserve">menneskerettigheter og øvrig samfunnsansvar. </w:t>
      </w:r>
      <w:hyperlink r:id="rId8" w:history="1">
        <w:r w:rsidR="00C62D06" w:rsidRPr="00C62D06">
          <w:rPr>
            <w:rStyle w:val="Hyperkobling"/>
          </w:rPr>
          <w:t>(DFØ anskaffelsesundersøkelse</w:t>
        </w:r>
      </w:hyperlink>
      <w:r w:rsidR="00C62D06">
        <w:t>)</w:t>
      </w:r>
      <w:r w:rsidR="002C6A15">
        <w:t xml:space="preserve"> Dette understreker behovet for økt kompetanse og </w:t>
      </w:r>
      <w:r w:rsidR="008D7BFC">
        <w:t xml:space="preserve">lovutvalgets forslag om et styrket håndhevingssystem. </w:t>
      </w:r>
    </w:p>
    <w:p w14:paraId="5AF9BEDA" w14:textId="6A1386B4" w:rsidR="0067547B" w:rsidRDefault="00514B0E" w:rsidP="00514B0E">
      <w:pPr>
        <w:pStyle w:val="Listeavsnitt"/>
        <w:numPr>
          <w:ilvl w:val="0"/>
          <w:numId w:val="2"/>
        </w:numPr>
      </w:pPr>
      <w:r>
        <w:t xml:space="preserve">KOFA gis tilsynsfunksjon på linje med Forbrukertilsynets rolle for Åpenhetsloven slik at manglende etterlevelse vil </w:t>
      </w:r>
      <w:r w:rsidR="004B6F8F">
        <w:t>følges opp.</w:t>
      </w:r>
    </w:p>
    <w:p w14:paraId="0A239996" w14:textId="22135F0C" w:rsidR="00612596" w:rsidRDefault="004B6F8F" w:rsidP="00514B0E">
      <w:pPr>
        <w:pStyle w:val="Listeavsnitt"/>
        <w:numPr>
          <w:ilvl w:val="0"/>
          <w:numId w:val="2"/>
        </w:numPr>
      </w:pPr>
      <w:proofErr w:type="spellStart"/>
      <w:r>
        <w:t>DFØs</w:t>
      </w:r>
      <w:proofErr w:type="spellEnd"/>
      <w:r>
        <w:t xml:space="preserve"> får økte ressurser til veiledning og utvikling av </w:t>
      </w:r>
      <w:r w:rsidR="00612596">
        <w:t>felles krav og kriterier som kan anvendes av kommuner og andre offentlige oppdragsgivere.</w:t>
      </w:r>
    </w:p>
    <w:p w14:paraId="5C3222C1" w14:textId="77777777" w:rsidR="00612596" w:rsidRDefault="00612596">
      <w:r>
        <w:lastRenderedPageBreak/>
        <w:br w:type="page"/>
      </w:r>
    </w:p>
    <w:p w14:paraId="4595E232" w14:textId="77777777" w:rsidR="004B6F8F" w:rsidRPr="00D520EF" w:rsidRDefault="004B6F8F" w:rsidP="00BD61B2">
      <w:pPr>
        <w:pStyle w:val="Listeavsnitt"/>
      </w:pPr>
    </w:p>
    <w:p w14:paraId="400B32A8" w14:textId="25A7B10A" w:rsidR="00EE0F74" w:rsidRDefault="005C6703" w:rsidP="00623ECB">
      <w:pPr>
        <w:pStyle w:val="Overskrift1"/>
      </w:pPr>
      <w:r>
        <w:t>Endringsforslag</w:t>
      </w:r>
    </w:p>
    <w:p w14:paraId="7A028E3E" w14:textId="4967DE45" w:rsidR="005C6703" w:rsidRDefault="005C6703" w:rsidP="005C6703">
      <w:pPr>
        <w:pStyle w:val="Liste"/>
        <w:ind w:firstLine="0"/>
      </w:pPr>
      <w:r>
        <w:t>Formuleringen i §5m om Menneskerettigheter og anstendige arbeidsforhold endres til</w:t>
      </w:r>
    </w:p>
    <w:p w14:paraId="30C6E5BE" w14:textId="66636C3C" w:rsidR="005C6703" w:rsidRPr="005C6703" w:rsidRDefault="005C6703" w:rsidP="005C6703">
      <w:pPr>
        <w:pStyle w:val="Liste"/>
        <w:ind w:firstLine="0"/>
        <w:rPr>
          <w:i/>
          <w:iCs/>
        </w:rPr>
      </w:pPr>
      <w:r w:rsidRPr="005C6703">
        <w:rPr>
          <w:i/>
          <w:iCs/>
        </w:rPr>
        <w:t xml:space="preserve">Ved anskaffelser hvor det er risiko for brudd på grunnleggende menneskerettigheter og anstendige arbeidsforhold, </w:t>
      </w:r>
      <w:r w:rsidR="00C65FA5" w:rsidRPr="00C65FA5">
        <w:rPr>
          <w:i/>
          <w:iCs/>
          <w:u w:val="single"/>
        </w:rPr>
        <w:t>skal</w:t>
      </w:r>
      <w:r w:rsidRPr="005C6703">
        <w:rPr>
          <w:i/>
          <w:iCs/>
        </w:rPr>
        <w:t xml:space="preserve"> oppdragsgiver stille krav eller kriterier for å motvirke at slike brudd oppstår</w:t>
      </w:r>
      <w:r w:rsidR="00C65FA5">
        <w:rPr>
          <w:i/>
          <w:iCs/>
        </w:rPr>
        <w:t>.</w:t>
      </w:r>
    </w:p>
    <w:p w14:paraId="3AAE848D" w14:textId="44605E37" w:rsidR="000039DE" w:rsidRDefault="00D815F6" w:rsidP="00623ECB">
      <w:pPr>
        <w:pStyle w:val="Overskrift1"/>
      </w:pPr>
      <w:r>
        <w:t>Merknadsforslag:</w:t>
      </w:r>
    </w:p>
    <w:p w14:paraId="15495B5E" w14:textId="46F3E8DD" w:rsidR="00EE0F74" w:rsidRDefault="00857108" w:rsidP="00EE0F74">
      <w:pPr>
        <w:pStyle w:val="Liste"/>
      </w:pPr>
      <w:r w:rsidRPr="006869FA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1.</w:t>
      </w:r>
      <w:r w:rsidR="00623ECB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ab/>
      </w:r>
      <w:r w:rsidRPr="006869FA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Plikten til å vurdere risiko er svekket:</w:t>
      </w:r>
      <w:r w:rsidRPr="006869FA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br/>
      </w:r>
      <w:r w:rsidR="00EE0F74">
        <w:t>Terskelen for hvor menneskerettigheter og arbeidstakers rettigheter er relevant må tydeliggjøres for offentlige oppdragsgivere.</w:t>
      </w:r>
    </w:p>
    <w:p w14:paraId="7898D49B" w14:textId="7AF0868C" w:rsidR="00BD61B2" w:rsidRDefault="00857108" w:rsidP="00623ECB">
      <w:pPr>
        <w:pStyle w:val="Liste"/>
      </w:pPr>
      <w:r w:rsidRPr="00BD61B2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2.</w:t>
      </w:r>
      <w:r w:rsidR="00623ECB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ab/>
      </w:r>
      <w:r w:rsidRPr="00BD61B2">
        <w:rPr>
          <w:rFonts w:ascii="Aptos" w:eastAsia="Times New Roman" w:hAnsi="Aptos" w:cs="Times New Roman"/>
          <w:b/>
          <w:bCs/>
          <w:color w:val="000000"/>
          <w:kern w:val="0"/>
          <w:lang w:eastAsia="nb-NO"/>
          <w14:ligatures w14:val="none"/>
        </w:rPr>
        <w:t>Styrk aktsomhetsvurderinger:</w:t>
      </w:r>
      <w:r w:rsidRPr="00BD61B2">
        <w:rPr>
          <w:rFonts w:ascii="Aptos" w:eastAsia="Times New Roman" w:hAnsi="Aptos" w:cs="Times New Roman"/>
          <w:color w:val="000000"/>
          <w:kern w:val="0"/>
          <w:lang w:eastAsia="nb-NO"/>
          <w14:ligatures w14:val="none"/>
        </w:rPr>
        <w:br/>
      </w:r>
      <w:r w:rsidR="00BD61B2">
        <w:t>Det klargjøres at metoden for aktsomhetsvurderinger skal følges i rutine for ivaretakelse av menneskerettigheter og anstendige arbeidsforhold.</w:t>
      </w:r>
    </w:p>
    <w:p w14:paraId="78669D5F" w14:textId="0C87D795" w:rsidR="00C65FA5" w:rsidRPr="00C65FA5" w:rsidRDefault="00C65FA5" w:rsidP="00623ECB">
      <w:pPr>
        <w:pStyle w:val="Liste"/>
        <w:rPr>
          <w:b/>
          <w:bCs/>
        </w:rPr>
      </w:pPr>
      <w:r w:rsidRPr="00C65FA5">
        <w:rPr>
          <w:b/>
          <w:bCs/>
          <w:lang w:eastAsia="nb-NO"/>
        </w:rPr>
        <w:t>3.</w:t>
      </w:r>
      <w:r w:rsidRPr="00C65FA5">
        <w:rPr>
          <w:b/>
          <w:bCs/>
          <w:lang w:eastAsia="nb-NO"/>
        </w:rPr>
        <w:tab/>
        <w:t xml:space="preserve">Styrk håndhevingssystemet og </w:t>
      </w:r>
      <w:proofErr w:type="spellStart"/>
      <w:r w:rsidRPr="00C65FA5">
        <w:rPr>
          <w:b/>
          <w:bCs/>
          <w:lang w:eastAsia="nb-NO"/>
        </w:rPr>
        <w:t>DFØs</w:t>
      </w:r>
      <w:proofErr w:type="spellEnd"/>
      <w:r w:rsidRPr="00C65FA5">
        <w:rPr>
          <w:b/>
          <w:bCs/>
          <w:lang w:eastAsia="nb-NO"/>
        </w:rPr>
        <w:t xml:space="preserve"> veiledning</w:t>
      </w:r>
    </w:p>
    <w:p w14:paraId="683B730A" w14:textId="77777777" w:rsidR="00C65FA5" w:rsidRDefault="00C65FA5" w:rsidP="00C65FA5">
      <w:pPr>
        <w:pStyle w:val="Listeavsnitt"/>
        <w:numPr>
          <w:ilvl w:val="0"/>
          <w:numId w:val="2"/>
        </w:numPr>
      </w:pPr>
      <w:r>
        <w:t>KOFA gis tilsynsfunksjon på linje med Forbrukertilsynets rolle for Åpenhetsloven slik at manglende etterlevelse vil følges opp.</w:t>
      </w:r>
    </w:p>
    <w:p w14:paraId="4BB9414A" w14:textId="77777777" w:rsidR="00C65FA5" w:rsidRDefault="00C65FA5" w:rsidP="00C65FA5">
      <w:pPr>
        <w:pStyle w:val="Listeavsnitt"/>
        <w:numPr>
          <w:ilvl w:val="0"/>
          <w:numId w:val="2"/>
        </w:numPr>
      </w:pPr>
      <w:proofErr w:type="spellStart"/>
      <w:r>
        <w:t>DFØs</w:t>
      </w:r>
      <w:proofErr w:type="spellEnd"/>
      <w:r>
        <w:t xml:space="preserve"> får økte ressurser til veiledning og utvikling av felles krav og kriterier som kan anvendes av kommuner og andre offentlige oppdragsgivere.</w:t>
      </w:r>
    </w:p>
    <w:p w14:paraId="3BD5C66E" w14:textId="02C4AA6D" w:rsidR="00D520EF" w:rsidRDefault="00D520EF"/>
    <w:p w14:paraId="4DCAB857" w14:textId="750EC9E8" w:rsidR="00E02E5E" w:rsidRDefault="00E02E5E"/>
    <w:p w14:paraId="5364B421" w14:textId="595F30BA" w:rsidR="00E02E5E" w:rsidRDefault="00E02E5E"/>
    <w:p w14:paraId="33DD2823" w14:textId="05D65EBE" w:rsidR="00E02E5E" w:rsidRDefault="00AF3422" w:rsidP="00942572">
      <w:pPr>
        <w:jc w:val="center"/>
      </w:pPr>
      <w:r>
        <w:t>4.11.26</w:t>
      </w:r>
    </w:p>
    <w:p w14:paraId="5C2771EF" w14:textId="34458C86" w:rsidR="00942572" w:rsidRDefault="00E02E5E">
      <w:r>
        <w:tab/>
      </w:r>
      <w:r>
        <w:tab/>
      </w:r>
      <w:r>
        <w:tab/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42572" w14:paraId="5662229A" w14:textId="77777777" w:rsidTr="00942572">
        <w:tc>
          <w:tcPr>
            <w:tcW w:w="3020" w:type="dxa"/>
          </w:tcPr>
          <w:p w14:paraId="76B34995" w14:textId="77777777" w:rsidR="00942572" w:rsidRDefault="00942572">
            <w:r>
              <w:t>Etisk handel Norge</w:t>
            </w:r>
            <w:r>
              <w:tab/>
            </w:r>
          </w:p>
          <w:p w14:paraId="3A139A98" w14:textId="77777777" w:rsidR="00942572" w:rsidRDefault="00942572"/>
          <w:p w14:paraId="35564227" w14:textId="77777777" w:rsidR="00942572" w:rsidRDefault="00942572"/>
          <w:p w14:paraId="042500FF" w14:textId="77777777" w:rsidR="00942572" w:rsidRDefault="00942572"/>
          <w:p w14:paraId="3D7966A8" w14:textId="77777777" w:rsidR="00942572" w:rsidRDefault="00942572">
            <w:r>
              <w:t>Heidi Furustøl</w:t>
            </w:r>
          </w:p>
          <w:p w14:paraId="3AEB3126" w14:textId="0BCC9803" w:rsidR="00942572" w:rsidRDefault="00942572">
            <w:r>
              <w:t>Daglig leder</w:t>
            </w:r>
          </w:p>
        </w:tc>
        <w:tc>
          <w:tcPr>
            <w:tcW w:w="3021" w:type="dxa"/>
          </w:tcPr>
          <w:p w14:paraId="6BC94A2E" w14:textId="6AC773CE" w:rsidR="00942572" w:rsidRDefault="00942572">
            <w:r>
              <w:t xml:space="preserve">Amnesty </w:t>
            </w:r>
            <w:proofErr w:type="spellStart"/>
            <w:r>
              <w:t>interntional</w:t>
            </w:r>
            <w:proofErr w:type="spellEnd"/>
            <w:r>
              <w:t xml:space="preserve"> Norge</w:t>
            </w:r>
          </w:p>
        </w:tc>
        <w:tc>
          <w:tcPr>
            <w:tcW w:w="3021" w:type="dxa"/>
          </w:tcPr>
          <w:p w14:paraId="242FBC93" w14:textId="6B2CD1DC" w:rsidR="00942572" w:rsidRDefault="00942572">
            <w:proofErr w:type="spellStart"/>
            <w:r>
              <w:t>Raftostiftelsen</w:t>
            </w:r>
            <w:proofErr w:type="spellEnd"/>
            <w:r>
              <w:t xml:space="preserve"> for menneskerettigheter</w:t>
            </w:r>
          </w:p>
        </w:tc>
      </w:tr>
    </w:tbl>
    <w:p w14:paraId="75B68D2C" w14:textId="7EFD72BB" w:rsidR="00E02E5E" w:rsidRDefault="00E02E5E"/>
    <w:sectPr w:rsidR="00E02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2EC3"/>
    <w:multiLevelType w:val="hybridMultilevel"/>
    <w:tmpl w:val="5B5EB2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61E49"/>
    <w:multiLevelType w:val="hybridMultilevel"/>
    <w:tmpl w:val="0E005EA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352672">
    <w:abstractNumId w:val="1"/>
  </w:num>
  <w:num w:numId="2" w16cid:durableId="142711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EF"/>
    <w:rsid w:val="000039DE"/>
    <w:rsid w:val="00082D86"/>
    <w:rsid w:val="00084EB2"/>
    <w:rsid w:val="000A0EA0"/>
    <w:rsid w:val="000D0CEF"/>
    <w:rsid w:val="0025455B"/>
    <w:rsid w:val="002C6A15"/>
    <w:rsid w:val="002E33D5"/>
    <w:rsid w:val="003061A4"/>
    <w:rsid w:val="00346382"/>
    <w:rsid w:val="00365F52"/>
    <w:rsid w:val="0046261F"/>
    <w:rsid w:val="004B6F8F"/>
    <w:rsid w:val="004D2B21"/>
    <w:rsid w:val="00514B0E"/>
    <w:rsid w:val="0052164C"/>
    <w:rsid w:val="00550E62"/>
    <w:rsid w:val="005B7CD4"/>
    <w:rsid w:val="005C6703"/>
    <w:rsid w:val="00612596"/>
    <w:rsid w:val="00623ECB"/>
    <w:rsid w:val="00663010"/>
    <w:rsid w:val="0067547B"/>
    <w:rsid w:val="00676C63"/>
    <w:rsid w:val="006869FA"/>
    <w:rsid w:val="006F033D"/>
    <w:rsid w:val="0078107F"/>
    <w:rsid w:val="007855A1"/>
    <w:rsid w:val="007A377C"/>
    <w:rsid w:val="007B4EF8"/>
    <w:rsid w:val="007E717D"/>
    <w:rsid w:val="00857108"/>
    <w:rsid w:val="008D7BFC"/>
    <w:rsid w:val="00942572"/>
    <w:rsid w:val="009F406C"/>
    <w:rsid w:val="00A77E5E"/>
    <w:rsid w:val="00AC70F9"/>
    <w:rsid w:val="00AF3422"/>
    <w:rsid w:val="00BB224C"/>
    <w:rsid w:val="00BD61B2"/>
    <w:rsid w:val="00C62D06"/>
    <w:rsid w:val="00C65FA5"/>
    <w:rsid w:val="00C74E6A"/>
    <w:rsid w:val="00C80E3B"/>
    <w:rsid w:val="00C85B74"/>
    <w:rsid w:val="00CE5713"/>
    <w:rsid w:val="00D3279D"/>
    <w:rsid w:val="00D44305"/>
    <w:rsid w:val="00D520EF"/>
    <w:rsid w:val="00D815F6"/>
    <w:rsid w:val="00E02E5E"/>
    <w:rsid w:val="00E61CBE"/>
    <w:rsid w:val="00EB5298"/>
    <w:rsid w:val="00EE0F74"/>
    <w:rsid w:val="00F3557D"/>
    <w:rsid w:val="00F443A6"/>
    <w:rsid w:val="00F94CEA"/>
    <w:rsid w:val="00FF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BCA0"/>
  <w15:chartTrackingRefBased/>
  <w15:docId w15:val="{EE1F0465-D6A9-4746-BF65-A219F7C33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52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52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52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52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52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52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52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52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52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52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52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52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520E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520E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520E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520E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520E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520E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52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52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52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52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52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520E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520E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520E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52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520E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520EF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C62D06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62D06"/>
    <w:rPr>
      <w:color w:val="605E5C"/>
      <w:shd w:val="clear" w:color="auto" w:fill="E1DFDD"/>
    </w:rPr>
  </w:style>
  <w:style w:type="paragraph" w:styleId="Liste">
    <w:name w:val="List"/>
    <w:basedOn w:val="Normal"/>
    <w:uiPriority w:val="99"/>
    <w:unhideWhenUsed/>
    <w:rsid w:val="00623ECB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623ECB"/>
    <w:pPr>
      <w:ind w:left="566" w:hanging="283"/>
      <w:contextualSpacing/>
    </w:pPr>
  </w:style>
  <w:style w:type="paragraph" w:styleId="Liste-forts">
    <w:name w:val="List Continue"/>
    <w:basedOn w:val="Normal"/>
    <w:uiPriority w:val="99"/>
    <w:unhideWhenUsed/>
    <w:rsid w:val="00623ECB"/>
    <w:pPr>
      <w:spacing w:after="120"/>
      <w:ind w:left="283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623EC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623ECB"/>
  </w:style>
  <w:style w:type="table" w:styleId="Tabellrutenett">
    <w:name w:val="Table Grid"/>
    <w:basedOn w:val="Vanligtabell"/>
    <w:uiPriority w:val="39"/>
    <w:rsid w:val="00942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6727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2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85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05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3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239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skaffelser.no/sites/default/files/2024-05/Anskaffelsesunders%C3%B8kelsen%202024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6412e-6627-4541-b211-ae8392b0a6a0">
      <Terms xmlns="http://schemas.microsoft.com/office/infopath/2007/PartnerControls"/>
    </lcf76f155ced4ddcb4097134ff3c332f>
    <TaxCatchAll xmlns="261e5cb2-90fb-4c82-9ccf-fd74c45a4b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DED02F6CADC54B86DB527D472A9A87" ma:contentTypeVersion="19" ma:contentTypeDescription="Opprett et nytt dokument." ma:contentTypeScope="" ma:versionID="ce1005e0c800b9d6973b56313cf60958">
  <xsd:schema xmlns:xsd="http://www.w3.org/2001/XMLSchema" xmlns:xs="http://www.w3.org/2001/XMLSchema" xmlns:p="http://schemas.microsoft.com/office/2006/metadata/properties" xmlns:ns2="3156412e-6627-4541-b211-ae8392b0a6a0" xmlns:ns3="261e5cb2-90fb-4c82-9ccf-fd74c45a4bb4" targetNamespace="http://schemas.microsoft.com/office/2006/metadata/properties" ma:root="true" ma:fieldsID="d9114ab7ee3a4455a758826e57a7226c" ns2:_="" ns3:_="">
    <xsd:import namespace="3156412e-6627-4541-b211-ae8392b0a6a0"/>
    <xsd:import namespace="261e5cb2-90fb-4c82-9ccf-fd74c45a4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6412e-6627-4541-b211-ae8392b0a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a66df01d-f549-43bd-b711-5dd7d6695d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e5cb2-90fb-4c82-9ccf-fd74c45a4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b54269-060e-4757-93cd-79a81065e721}" ma:internalName="TaxCatchAll" ma:showField="CatchAllData" ma:web="261e5cb2-90fb-4c82-9ccf-fd74c45a4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476F4C-E379-479F-BD1E-329759FA0F6B}">
  <ds:schemaRefs>
    <ds:schemaRef ds:uri="http://schemas.microsoft.com/office/2006/metadata/properties"/>
    <ds:schemaRef ds:uri="http://schemas.microsoft.com/office/infopath/2007/PartnerControls"/>
    <ds:schemaRef ds:uri="3156412e-6627-4541-b211-ae8392b0a6a0"/>
    <ds:schemaRef ds:uri="261e5cb2-90fb-4c82-9ccf-fd74c45a4bb4"/>
  </ds:schemaRefs>
</ds:datastoreItem>
</file>

<file path=customXml/itemProps2.xml><?xml version="1.0" encoding="utf-8"?>
<ds:datastoreItem xmlns:ds="http://schemas.openxmlformats.org/officeDocument/2006/customXml" ds:itemID="{C2023B91-C136-4D45-910B-AEA80A4EC7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2D535-9EA3-4BDB-BC94-C26CE3735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56412e-6627-4541-b211-ae8392b0a6a0"/>
    <ds:schemaRef ds:uri="261e5cb2-90fb-4c82-9ccf-fd74c45a4b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492</Words>
  <Characters>3276</Characters>
  <Application>Microsoft Office Word</Application>
  <DocSecurity>0</DocSecurity>
  <Lines>72</Lines>
  <Paragraphs>25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Ådnøy Holmqvist</dc:creator>
  <cp:keywords/>
  <dc:description/>
  <cp:lastModifiedBy>Espen Utaker</cp:lastModifiedBy>
  <cp:revision>52</cp:revision>
  <dcterms:created xsi:type="dcterms:W3CDTF">2025-10-30T10:31:00Z</dcterms:created>
  <dcterms:modified xsi:type="dcterms:W3CDTF">2025-11-12T10:08:00Z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0x01010029DED02F6CADC54B86DB527D472A9A87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